
<file path=[Content_Types].xml><?xml version="1.0" encoding="utf-8"?>
<Types xmlns="http://schemas.openxmlformats.org/package/2006/content-types">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Open Sans" w:hAnsi="Open Sans" w:cs="Open Sans"/>
          <w:b/>
          <w:b/>
          <w:bCs/>
          <w:sz w:val="18"/>
          <w:szCs w:val="18"/>
        </w:rPr>
      </w:pPr>
      <w:r>
        <w:rPr>
          <w:rFonts w:cs="Open Sans" w:ascii="Open Sans" w:hAnsi="Open Sans"/>
          <w:sz w:val="18"/>
          <w:szCs w:val="18"/>
        </w:rPr>
        <w:t>Procedimento -</w:t>
      </w:r>
      <w:r>
        <w:rPr>
          <w:rFonts w:cs="Open Sans" w:ascii="Open Sans" w:hAnsi="Open Sans"/>
          <w:b/>
          <w:bCs/>
          <w:sz w:val="18"/>
          <w:szCs w:val="18"/>
        </w:rPr>
        <w:t xml:space="preserve"> Elaborar Matriz de Riscos</w:t>
      </w:r>
      <w:r>
        <w:rPr>
          <w:rFonts w:cs="Open Sans" w:ascii="Open Sans" w:hAnsi="Open Sans"/>
          <w:sz w:val="18"/>
          <w:szCs w:val="18"/>
        </w:rPr>
        <w:t xml:space="preserve"> da auditoria </w:t>
      </w:r>
      <w:r>
        <w:rPr>
          <w:rFonts w:cs="Open Sans" w:ascii="Open Sans" w:hAnsi="Open Sans"/>
          <w:b/>
          <w:bCs/>
          <w:sz w:val="18"/>
          <w:szCs w:val="18"/>
        </w:rPr>
        <w:t>&lt;AAAA/000&gt;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Apresentar o mapeamento de Objetivos, respectivos Riscos e Controles identificados pelo gestor e complementados pela Audin, explicitando os Testes de Controle planejados e a distribuição deles na equipe de auditoria. Essas informações são registradas na Matriz de Riscos da auditoria individual. #Atribuído para: &lt;inserir&gt; - #Complexidade: &lt;inserir&gt;</w:t>
        <w:tab/>
      </w:r>
    </w:p>
    <w:p>
      <w:pPr>
        <w:pStyle w:val="Normal"/>
        <w:spacing w:before="0" w:after="0"/>
        <w:jc w:val="both"/>
        <w:rPr>
          <w:rFonts w:ascii="Open Sans" w:hAnsi="Open Sans" w:cs="Open Sans"/>
          <w:sz w:val="18"/>
          <w:szCs w:val="18"/>
        </w:rPr>
      </w:pPr>
      <w:r>
        <w:rPr>
          <w:rFonts w:cs="Open Sans" w:ascii="Open Sans" w:hAnsi="Open Sans"/>
          <w:sz w:val="18"/>
          <w:szCs w:val="18"/>
        </w:rPr>
        <w:t>Os procedimentos foram realizados conforme fluxo ordinário de auditoria, com atribuição das tarefas aos membros da equipe, cuja conclusão foi revisada pelo gerente da &lt;inserir&gt;, em alinhamento ao Programa de Gestão e Melhoria da Qualidade (PGQM) da Auditoria Interna (AUDIN), aprovado pela Decisão Setorial AUDIN-AU-001/2019, à Norma IPPF 1300 e ao KPA 3.7 do modelo IA-CM.</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1. Na aba 'Cronograma', informar a 'Data início realizado' da tarefa da Matriz de Riscos, alterando Situação para 'Em andamento'.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2. Selecionar, do conjunto de informações levantadas no DAP, aquelas relevantes e úteis para orientar o planejamento da Auditoria Baseada em Riscos (ABR).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3. Preencher a Matriz de Riscos com o Objetivo do objeto de auditoria, acompanhado das Metas (operacionais ou estratégicas) associadas e respectivos resultados.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4. Preencher a Matriz de Riscos com a Extração de Riscos e Controles no Archer, conforme link disponibilizado.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5. Considerando histórico de denúncias, sindicâncias e PADs no PAINT, representações no TCU e pontos críticos do processo no DAP, triângulo da fraude no RCSA, riscos de integridade já mapeados pelo gestor na extração no Archer, apresentar reflexão crítica da Audin sobre Risco de Integridade (fraude, corrupção ou desvio de conduta ética) ou de erros significativos no objeto de auditoria.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6. Considerando o conjunto de tipologias extraídas das informações levantadas no DAP, em especial pontos críticos do processo, demandas de órgãos de controle, riscos emergentes e visão de riscos da alta administração no PAINT, complementar os riscos já mapeados pelo gestor com a visão de riscos pela Audin, analisando causas, consequências e identificando respectivos controles.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7. Realizar reavaliação de probabilidade e impacto dos riscos extraídos do Archer e avaliação daqueles identificados pela Audin, hierarquizando pelo Nível de Riscos. Aproveitar propostas de Questões de Auditoria do DAP para agrupar os conjuntos de riscos (e respectivos controles) pertinentes para aprofundar, dentro do Escopo planejado da auditoria.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8. Realizar reunião de Abertura dos trabalhos, apresentando objetivo e cronograma previsto da auditoria, equipe de auditoria e papéis, responsabilidades do auditado, tratativas para acesso a ativos e informações necessárias para realizar o trabalho, etapas básicas do processo de auditoria, formas de comunicação, e debatendo questões de auditoria e respectivos critérios de auditoria, assim como dívidas ou sugestões do auditado.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9. Facilitar a autoavaliação pelos gestores da Autoavaliação da Maturidade de Riscos e Controles (RCSA), baseada no COSO ICIF, aproveitando as informações levantadas no DAP e na extração de riscos e controles para orientar a entrevista e explorar outros temas relevantes para complementar a Matriz de Riscos.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10. Incluir na Matriz de Riscos testes voltados a subsidiar a opinião da Audin, baseada no COSO ICIF, sobre a Autoavaliação da Maturidade de Riscos e Controles (RCSA) pelos gestores. A opinião da Audin, juntamente com a Autoavaliação pelos gestores, será consolidada no Relatório de Riscos e Controles Internos - RRC e subsidiará eventuais recomendações de melhorias de GRC.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11. Feita a priorização de Riscos inerentes críticos e Controles-chave, desenvolver Testes de Controle a serem aplicados para coletar evidências suficientes, adequadas e úteis acerca do funcionamento efetivo dos controles e da gestão de riscos, explicitando os critérios de auditoria adotados como parâmetro (sejam normas ou referenciais de boas práticas).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spacing w:before="0" w:after="0"/>
        <w:jc w:val="both"/>
        <w:rPr>
          <w:rFonts w:ascii="Open Sans" w:hAnsi="Open Sans" w:cs="Open Sans"/>
          <w:sz w:val="18"/>
          <w:szCs w:val="18"/>
        </w:rPr>
      </w:pPr>
      <w:r>
        <w:rPr>
          <w:rFonts w:cs="Open Sans" w:ascii="Open Sans" w:hAnsi="Open Sans"/>
          <w:sz w:val="18"/>
          <w:szCs w:val="18"/>
        </w:rPr>
      </w:r>
    </w:p>
    <w:p>
      <w:pPr>
        <w:pStyle w:val="Normal"/>
        <w:spacing w:before="0" w:after="0"/>
        <w:jc w:val="both"/>
        <w:rPr>
          <w:rFonts w:ascii="Open Sans" w:hAnsi="Open Sans" w:cs="Open Sans"/>
          <w:color w:val="0070C0"/>
          <w:sz w:val="18"/>
          <w:szCs w:val="18"/>
        </w:rPr>
      </w:pPr>
      <w:r>
        <w:rPr>
          <w:rFonts w:cs="Open Sans" w:ascii="Open Sans" w:hAnsi="Open Sans"/>
          <w:color w:val="0070C0"/>
          <w:sz w:val="18"/>
          <w:szCs w:val="18"/>
        </w:rPr>
        <w:t>12. Realizar análise custo vs. benefício dos Testes de Controle, priorizando aqueles de menor custo de aplicação e a maior nível de asseguração sobre os Riscos e Controles mais relevantes (maior Nível de Risco) para o Escopo planejado. Atualizar na Matriz de Riscos as 'Horas Previstas' para cada Teste planejado, que orientará as referências '#Complexidade' no Sisaudit.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13. Distribuição na Matriz de Riscos dos Testes de Controle priorizados, conforme perfil de proficiência dos membros da equipe, que orientará as referências '#Atribuído para' no Sisaudit.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14. Os membros de equipe atribuídos devem, conforme cabível, elaborar amostragem não probabilística, baseadas no Julgamento profissional, de modo a orientar o foco da aplicação dos Testes planejados e submeter ao Supervisor.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15. Os membros de equipe atribuídos devem, conforme cabível, elaborar amostragem não probabilística, baseadas no Julgamento profissional, de modo a orientar o foco da aplicação dos Testes planejados e submeter ao Supervisor.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16. Supervisor deve revisar a Matriz de Riscos, inclusive as amostras aleatórias e as não probabilísticas selecionadas, submetendo Matriz e amostras à revisão pelo gerente par.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17. Revisão da Matriz de Riscos pelo gerente par.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18. Atualizar no Redmine a cobertura planejada de Objetivos, Metas, Riscos, Controles e Processos, incluindo e excluindo os relacionamento adequados na tarefa de Auditoria correspondente, visando manter atualizado o Mapa de Cobertura do PAINT.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19. Incluir, no 'Programa de Auditoria' no Sisaudit, procedimento na fase de execução refletindo o OBJETIVO do objeto de auditoria, explicitando os Testes planejados quanto a consistência da apuração das Metas, Resultados e Indicadores associados, considerando os atributos de: Mensurabilidade, Confiabilidade, Estabilidade, Validade, Periodicidade e Auditabilidade. Indicar a distribuição dos Testes na equipe referenciando os '#Atribuído para' e os '#Complexidade'.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20. Incluir, no 'Programa de Auditoria' no Sisaudit, procedimento na fase de execução refletindo os RISCOS priorizados conforme escopo da auditoria, explicitando os Testes planejados quanto aos seguintes atributos de qualidade do registro de riscos: Adequabilidade, Eficácia e Monitoramento. Indicar a distribuição dos Testes na equipe referenciando os '#Atribuído para' e os '#Complexidade'.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21. Incluir, no 'Programa de Auditoria' no Sisaudit, procedimento na fase de execução refletindo os CONTROLES priorizados conforme escopo da auditoria, explicitando todos os Testes de Controle detalhados na Matriz de Riscos, referenciando os '#Atribuído para' e os '#Complexidade', e incluindo testes para os seguintes atributos de qualidade dos Controles: Adequabilidade, Eficácia e Monitoramento.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22. O designado Auditor responsável deve concluir o preenchimento da seção 'Planejamento do Trabalho' da Avaliação Interna de Qualidade, conforme monitoramento contínuo de qualidade previsto no PGMQ.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rFonts w:ascii="Open Sans" w:hAnsi="Open Sans" w:cs="Open Sans"/>
          <w:color w:val="0070C0"/>
          <w:sz w:val="18"/>
          <w:szCs w:val="18"/>
        </w:rPr>
      </w:pPr>
      <w:r>
        <w:rPr>
          <w:rFonts w:cs="Open Sans" w:ascii="Open Sans" w:hAnsi="Open Sans"/>
          <w:color w:val="0070C0"/>
          <w:sz w:val="18"/>
          <w:szCs w:val="18"/>
        </w:rPr>
        <w:t>23. Na aba 'Cronograma', informar a 'Data fim realizado' da tarefa da Matriz de Riscos, alterando Situação para 'Concluída'. Concluída a fase de Planejamento no Cronograma, o Status da auditoria deve ser alterado para 'Em execução'. #Atribuído para: &lt;inserir&gt; - #Complexidade: &lt;inserir&gt;</w:t>
      </w:r>
    </w:p>
    <w:p>
      <w:pPr>
        <w:pStyle w:val="Normal"/>
        <w:spacing w:before="0" w:after="0"/>
        <w:jc w:val="both"/>
        <w:rPr>
          <w:rFonts w:ascii="Open Sans" w:hAnsi="Open Sans" w:cs="Open Sans"/>
          <w:sz w:val="18"/>
          <w:szCs w:val="18"/>
        </w:rPr>
      </w:pPr>
      <w:r>
        <w:rPr>
          <w:rFonts w:cs="Open Sans" w:ascii="Open Sans" w:hAnsi="Open Sans"/>
          <w:sz w:val="18"/>
          <w:szCs w:val="18"/>
        </w:rPr>
        <w:t>&lt;resultado&gt;</w:t>
      </w:r>
    </w:p>
    <w:p>
      <w:pPr>
        <w:pStyle w:val="Normal"/>
        <w:tabs>
          <w:tab w:val="left" w:pos="2995" w:leader="none"/>
        </w:tabs>
        <w:spacing w:before="0" w:after="0"/>
        <w:jc w:val="both"/>
        <w:rPr>
          <w:rFonts w:ascii="Open Sans" w:hAnsi="Open Sans" w:cs="Open Sans"/>
          <w:sz w:val="18"/>
          <w:szCs w:val="18"/>
        </w:rPr>
      </w:pPr>
      <w:r>
        <w:rPr>
          <w:rFonts w:cs="Open Sans" w:ascii="Open Sans" w:hAnsi="Open Sans"/>
          <w:sz w:val="18"/>
          <w:szCs w:val="18"/>
        </w:rPr>
      </w:r>
    </w:p>
    <w:p>
      <w:pPr>
        <w:pStyle w:val="Normal"/>
        <w:tabs>
          <w:tab w:val="left" w:pos="2995" w:leader="none"/>
        </w:tabs>
        <w:spacing w:before="0" w:after="0"/>
        <w:jc w:val="both"/>
        <w:rPr/>
      </w:pPr>
      <w:r>
        <w:rPr/>
      </w:r>
    </w:p>
    <w:sectPr>
      <w:headerReference w:type="default" r:id="rId2"/>
      <w:footerReference w:type="default" r:id="rId3"/>
      <w:type w:val="nextPage"/>
      <w:pgSz w:w="11906" w:h="16838"/>
      <w:pgMar w:left="720" w:right="720" w:header="567" w:top="1208"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Spranq eco sans">
    <w:charset w:val="01"/>
    <w:family w:val="roman"/>
    <w:pitch w:val="variable"/>
  </w:font>
  <w:font w:name="Calibri">
    <w:charset w:val="01"/>
    <w:family w:val="roman"/>
    <w:pitch w:val="variable"/>
  </w:font>
  <w:font w:name="Spranq eco sans">
    <w:charset w:val="01"/>
    <w:family w:val="swiss"/>
    <w:pitch w:val="variable"/>
  </w:font>
  <w:font w:name="Open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Open Sans" w:ascii="Open Sans" w:hAnsi="Open Sans"/>
        <w:b w:val="false"/>
        <w:bCs w:val="false"/>
        <w:color w:val="7F7F7F" w:themeColor="text1" w:themeShade="ff" w:themeTint="80"/>
        <w:sz w:val="18"/>
        <w:szCs w:val="18"/>
      </w:rPr>
      <w:t>Procedimento - Elaborar Matriz de Riscos da auditoria – AUDIN - versão 01</w:t>
    </w:r>
    <w:r>
      <w:rPr/>
      <w:tab/>
      <w:tab/>
    </w:r>
    <w:r>
      <w:rPr>
        <w:rFonts w:cs="Open Sans" w:ascii="Open Sans" w:hAnsi="Open Sans"/>
        <w:b w:val="false"/>
        <w:bCs w:val="false"/>
        <w:color w:val="7F7F7F" w:themeColor="text1" w:themeShade="ff" w:themeTint="80"/>
        <w:sz w:val="18"/>
        <w:szCs w:val="18"/>
      </w:rPr>
      <w:t> </w:t>
    </w:r>
    <w:r>
      <w:rPr/>
      <w:tab/>
    </w:r>
    <w:r>
      <w:rPr>
        <w:rFonts w:cs="Open Sans" w:ascii="Open Sans" w:hAnsi="Open Sans"/>
        <w:sz w:val="16"/>
        <w:szCs w:val="16"/>
      </w:rPr>
      <w:fldChar w:fldCharType="begin"/>
    </w:r>
    <w:r>
      <w:rPr>
        <w:sz w:val="16"/>
        <w:szCs w:val="16"/>
        <w:rFonts w:cs="Open Sans" w:ascii="Open Sans" w:hAnsi="Open Sans"/>
      </w:rPr>
      <w:instrText> PAGE </w:instrText>
    </w:r>
    <w:r>
      <w:rPr>
        <w:sz w:val="16"/>
        <w:szCs w:val="16"/>
        <w:rFonts w:cs="Open Sans" w:ascii="Open Sans" w:hAnsi="Open Sans"/>
      </w:rPr>
      <w:fldChar w:fldCharType="separate"/>
    </w:r>
    <w:r>
      <w:rPr>
        <w:sz w:val="16"/>
        <w:szCs w:val="16"/>
        <w:rFonts w:cs="Open Sans" w:ascii="Open Sans" w:hAnsi="Open Sans"/>
      </w:rPr>
      <w:t>3</w:t>
    </w:r>
    <w:r>
      <w:rPr>
        <w:sz w:val="16"/>
        <w:szCs w:val="16"/>
        <w:rFonts w:cs="Open Sans" w:ascii="Open Sans" w:hAnsi="Open San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ascii="Open Sans" w:hAnsi="Open Sans" w:cs="Open Sans"/>
        <w:sz w:val="16"/>
        <w:szCs w:val="16"/>
      </w:rPr>
    </w:pPr>
    <w:r>
      <mc:AlternateContent>
        <mc:Choice Requires="wpg">
          <w:drawing>
            <wp:anchor behindDoc="1" distT="0" distB="0" distL="114300" distR="114300" simplePos="0" locked="0" layoutInCell="1" allowOverlap="1" relativeHeight="4" wp14:anchorId="412165E6">
              <wp:simplePos x="0" y="0"/>
              <wp:positionH relativeFrom="page">
                <wp:align>left</wp:align>
              </wp:positionH>
              <wp:positionV relativeFrom="paragraph">
                <wp:posOffset>-361315</wp:posOffset>
              </wp:positionV>
              <wp:extent cx="46355" cy="10681335"/>
              <wp:effectExtent l="0" t="0" r="0" b="6350"/>
              <wp:wrapNone/>
              <wp:docPr id="1" name="Google Shape;14;p2"/>
              <a:graphic xmlns:a="http://schemas.openxmlformats.org/drawingml/2006/main">
                <a:graphicData uri="http://schemas.microsoft.com/office/word/2010/wordprocessingGroup">
                  <wpg:wgp>
                    <wpg:cNvGrpSpPr/>
                    <wpg:grpSpPr>
                      <a:xfrm>
                        <a:off x="0" y="0"/>
                        <a:ext cx="45720" cy="10680840"/>
                      </a:xfrm>
                    </wpg:grpSpPr>
                    <wps:wsp>
                      <wps:cNvSpPr/>
                      <wps:spPr>
                        <a:xfrm>
                          <a:off x="23400" y="0"/>
                          <a:ext cx="22320" cy="10680840"/>
                        </a:xfrm>
                        <a:prstGeom prst="rect">
                          <a:avLst/>
                        </a:prstGeom>
                        <a:gradFill rotWithShape="0">
                          <a:gsLst>
                            <a:gs pos="0">
                              <a:srgbClr val="0000cc">
                                <a:alpha val="47000"/>
                              </a:srgbClr>
                            </a:gs>
                            <a:gs pos="100000">
                              <a:srgbClr val="33ccff">
                                <a:alpha val="47000"/>
                              </a:srgbClr>
                            </a:gs>
                          </a:gsLst>
                          <a:lin ang="5400000"/>
                        </a:gradFill>
                        <a:ln>
                          <a:noFill/>
                        </a:ln>
                      </wps:spPr>
                      <wps:style>
                        <a:lnRef idx="0"/>
                        <a:fillRef idx="0"/>
                        <a:effectRef idx="0"/>
                        <a:fontRef idx="minor"/>
                      </wps:style>
                      <wps:bodyPr/>
                    </wps:wsp>
                    <wps:wsp>
                      <wps:cNvSpPr/>
                      <wps:spPr>
                        <a:xfrm>
                          <a:off x="0" y="0"/>
                          <a:ext cx="22320" cy="10680840"/>
                        </a:xfrm>
                        <a:prstGeom prst="rect">
                          <a:avLst/>
                        </a:prstGeom>
                        <a:gradFill rotWithShape="0">
                          <a:gsLst>
                            <a:gs pos="0">
                              <a:srgbClr val="0000cc"/>
                            </a:gs>
                            <a:gs pos="100000">
                              <a:srgbClr val="33ccff"/>
                            </a:gs>
                          </a:gsLst>
                          <a:lin ang="5400000"/>
                        </a:gradFill>
                        <a:ln>
                          <a:noFill/>
                        </a:ln>
                      </wps:spPr>
                      <wps:style>
                        <a:lnRef idx="0"/>
                        <a:fillRef idx="0"/>
                        <a:effectRef idx="0"/>
                        <a:fontRef idx="minor"/>
                      </wps:style>
                      <wps:bodyPr/>
                    </wps:wsp>
                  </wpg:wgp>
                </a:graphicData>
              </a:graphic>
            </wp:anchor>
          </w:drawing>
        </mc:Choice>
        <mc:Fallback>
          <w:pict>
            <v:group id="shape_0" alt="Google Shape;14;p2" style="position:absolute;margin-left:9.05pt;margin-top:-28.45pt;width:3.6pt;height:841pt" coordorigin="181,-569" coordsize="72,16820">
              <v:rect id="shape_0" ID="Google Shape;15;p2" fillcolor="#33ccff" stroked="f" style="position:absolute;left:217;top:-569;width:34;height:16819;mso-position-horizontal:left;mso-position-horizontal-relative:page">
                <w10:wrap type="none"/>
                <v:fill o:detectmouseclick="t" color2="#0000cc"/>
                <v:stroke color="#3465a4" joinstyle="round" endcap="flat"/>
              </v:rect>
              <v:rect id="shape_0" ID="Google Shape;16;p2" fillcolor="#33ccff" stroked="f" style="position:absolute;left:180;top:-569;width:34;height:16819;mso-position-horizontal:left;mso-position-horizontal-relative:page">
                <w10:wrap type="none"/>
                <v:fill o:detectmouseclick="t" color2="#0000cc"/>
                <v:stroke color="#3465a4" joinstyle="round" endcap="flat"/>
              </v:rect>
            </v:group>
          </w:pict>
        </mc:Fallback>
      </mc:AlternateContent>
      <w:drawing>
        <wp:anchor behindDoc="1" distT="0" distB="0" distL="0" distR="0" simplePos="0" locked="0" layoutInCell="1" allowOverlap="1" relativeHeight="7">
          <wp:simplePos x="0" y="0"/>
          <wp:positionH relativeFrom="margin">
            <wp:align>right</wp:align>
          </wp:positionH>
          <wp:positionV relativeFrom="paragraph">
            <wp:posOffset>-10160</wp:posOffset>
          </wp:positionV>
          <wp:extent cx="716280" cy="190500"/>
          <wp:effectExtent l="0" t="0" r="0" b="0"/>
          <wp:wrapNone/>
          <wp:docPr id="2" name="image7.png"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descr="Logotipo&#10;&#10;Descrição gerada automaticamente"/>
                  <pic:cNvPicPr>
                    <a:picLocks noChangeAspect="1" noChangeArrowheads="1"/>
                  </pic:cNvPicPr>
                </pic:nvPicPr>
                <pic:blipFill>
                  <a:blip r:embed="rId1"/>
                  <a:stretch>
                    <a:fillRect/>
                  </a:stretch>
                </pic:blipFill>
                <pic:spPr bwMode="auto">
                  <a:xfrm>
                    <a:off x="0" y="0"/>
                    <a:ext cx="716280" cy="190500"/>
                  </a:xfrm>
                  <a:prstGeom prst="rect">
                    <a:avLst/>
                  </a:prstGeom>
                </pic:spPr>
              </pic:pic>
            </a:graphicData>
          </a:graphic>
        </wp:anchor>
      </w:drawing>
    </w:r>
    <w:r>
      <w:rPr>
        <w:rFonts w:cs="Open Sans" w:ascii="Open Sans" w:hAnsi="Open Sans"/>
        <w:b/>
        <w:bCs/>
        <w:sz w:val="16"/>
        <w:szCs w:val="16"/>
      </w:rPr>
      <w:t>&lt;AAAA/000&gt;</w:t>
    </w:r>
    <w:r>
      <w:rPr>
        <w:rFonts w:cs="Open Sans" w:ascii="Open Sans" w:hAnsi="Open Sans"/>
        <w:sz w:val="16"/>
        <w:szCs w:val="16"/>
      </w:rPr>
      <w:t xml:space="preserve"> - Procedimento - Elaborar Matriz de Riscos</w:t>
    </w:r>
  </w:p>
</w:hdr>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c26f0"/>
    <w:rPr/>
  </w:style>
  <w:style w:type="character" w:styleId="RodapChar" w:customStyle="1">
    <w:name w:val="Rodapé Char"/>
    <w:basedOn w:val="DefaultParagraphFont"/>
    <w:link w:val="Rodap"/>
    <w:uiPriority w:val="99"/>
    <w:qFormat/>
    <w:rsid w:val="00bc26f0"/>
    <w:rPr/>
  </w:style>
  <w:style w:type="character" w:styleId="LinkdaInternet">
    <w:name w:val="Link da Internet"/>
    <w:basedOn w:val="DefaultParagraphFont"/>
    <w:uiPriority w:val="99"/>
    <w:unhideWhenUsed/>
    <w:rsid w:val="00e717c5"/>
    <w:rPr>
      <w:color w:val="0563C1" w:themeColor="hyperlink"/>
      <w:u w:val="single"/>
    </w:rPr>
  </w:style>
  <w:style w:type="character" w:styleId="UnresolvedMention">
    <w:name w:val="Unresolved Mention"/>
    <w:basedOn w:val="DefaultParagraphFont"/>
    <w:uiPriority w:val="99"/>
    <w:semiHidden/>
    <w:unhideWhenUsed/>
    <w:qFormat/>
    <w:rsid w:val="00e717c5"/>
    <w:rPr>
      <w:color w:val="605E5C"/>
      <w:shd w:fill="E1DFDD" w:val="clear"/>
    </w:rPr>
  </w:style>
  <w:style w:type="paragraph" w:styleId="Ttulo">
    <w:name w:val="Título"/>
    <w:basedOn w:val="Normal"/>
    <w:next w:val="Corpodetexto"/>
    <w:qFormat/>
    <w:pPr>
      <w:keepNext w:val="true"/>
      <w:spacing w:before="240" w:after="120"/>
    </w:pPr>
    <w:rPr>
      <w:rFonts w:ascii="Spranq eco sans" w:hAnsi="Spranq eco sans" w:eastAsia="Noto Sans CJK SC" w:cs="Lohit Devanagari"/>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alho">
    <w:name w:val="Header"/>
    <w:basedOn w:val="Normal"/>
    <w:link w:val="CabealhoChar"/>
    <w:uiPriority w:val="99"/>
    <w:unhideWhenUsed/>
    <w:rsid w:val="00bc26f0"/>
    <w:pPr>
      <w:tabs>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bc26f0"/>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140a2c"/>
    <w:pPr>
      <w:spacing w:before="0" w:after="16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f74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17A44C54B0F244B6AA6FB9B76A5DB3" ma:contentTypeVersion="17" ma:contentTypeDescription="Crie um novo documento." ma:contentTypeScope="" ma:versionID="379157eb712d36ce9548efcf0915e8ef">
  <xsd:schema xmlns:xsd="http://www.w3.org/2001/XMLSchema" xmlns:xs="http://www.w3.org/2001/XMLSchema" xmlns:p="http://schemas.microsoft.com/office/2006/metadata/properties" xmlns:ns2="4c44d1a2-714b-427a-88a7-d47601b70d31" xmlns:ns3="1b51bc9b-cf9c-45f4-882e-17789deab790" targetNamespace="http://schemas.microsoft.com/office/2006/metadata/properties" ma:root="true" ma:fieldsID="7e4e23b5fd633c66cd7bd24b9af3edc0" ns2:_="" ns3:_="">
    <xsd:import namespace="4c44d1a2-714b-427a-88a7-d47601b70d31"/>
    <xsd:import namespace="1b51bc9b-cf9c-45f4-882e-17789deab7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DateTake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4d1a2-714b-427a-88a7-d47601b70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b1105fed-749e-4077-bf79-33a6284026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51bc9b-cf9c-45f4-882e-17789deab790"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2fad09d9-9520-4505-87a9-f5db844d377b}" ma:internalName="TaxCatchAll" ma:showField="CatchAllData" ma:web="1b51bc9b-cf9c-45f4-882e-17789deab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51bc9b-cf9c-45f4-882e-17789deab790" xsi:nil="true"/>
    <lcf76f155ced4ddcb4097134ff3c332f xmlns="4c44d1a2-714b-427a-88a7-d47601b70d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29061E-BDBA-4F83-977A-F61A841DFB05}"/>
</file>

<file path=customXml/itemProps2.xml><?xml version="1.0" encoding="utf-8"?>
<ds:datastoreItem xmlns:ds="http://schemas.openxmlformats.org/officeDocument/2006/customXml" ds:itemID="{0061EB67-C079-45B2-A293-E45EB757B0DF}">
  <ds:schemaRefs>
    <ds:schemaRef ds:uri="http://schemas.microsoft.com/sharepoint/v3/contenttype/forms"/>
  </ds:schemaRefs>
</ds:datastoreItem>
</file>

<file path=customXml/itemProps3.xml><?xml version="1.0" encoding="utf-8"?>
<ds:datastoreItem xmlns:ds="http://schemas.openxmlformats.org/officeDocument/2006/customXml" ds:itemID="{9EA6C7A1-96B2-4BA3-B6D5-097D021993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LibreOffice/6.0.3.2$Linux_X86_64 LibreOffice_project/00m0$Build-2</Application>
  <Pages>3</Pages>
  <Words>1205</Words>
  <Characters>7555</Characters>
  <CharactersWithSpaces>8715</CharactersWithSpaces>
  <Paragraphs>51</Paragraphs>
  <Company>Serviço Federal de Processamento de Dados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2022/001 Procedimento 2.3 Elaborar DAP</dc:title>
  <dc:subject/>
  <dc:creator>Marcos José Perini</dc:creator>
  <dc:description/>
  <cp:lastModifiedBy/>
  <cp:revision>48</cp:revision>
  <dcterms:created xsi:type="dcterms:W3CDTF">2022-02-15T00:16:00Z</dcterms:created>
  <dcterms:modified xsi:type="dcterms:W3CDTF">2022-03-11T11:49:18Z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Serviço Federal de Processamento de Dados</vt:lpwstr>
  </property>
  <property fmtid="{D5CDD505-2E9C-101B-9397-08002B2CF9AE}" pid="4" name="ContentTypeId">
    <vt:lpwstr>0x0101006617A44C54B0F244B6AA6FB9B76A5DB3</vt:lpwstr>
  </property>
  <property fmtid="{D5CDD505-2E9C-101B-9397-08002B2CF9AE}" pid="5" name="DocSecurity">
    <vt:i4>2</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